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7A" w:rsidRPr="0045033E" w:rsidRDefault="0064027A" w:rsidP="00BE76EA">
      <w:pPr>
        <w:spacing w:after="120"/>
        <w:rPr>
          <w:b/>
          <w:sz w:val="24"/>
          <w:szCs w:val="24"/>
        </w:rPr>
      </w:pPr>
      <w:r w:rsidRPr="00B20007">
        <w:rPr>
          <w:b/>
          <w:color w:val="00B0F0"/>
          <w:sz w:val="24"/>
          <w:szCs w:val="24"/>
        </w:rPr>
        <w:t>CALIFORNIA HEALTH AND SAFETY CODE</w:t>
      </w:r>
    </w:p>
    <w:p w:rsidR="0064027A" w:rsidRDefault="0064027A" w:rsidP="0064027A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Human Experimentation</w:t>
      </w:r>
      <w:r w:rsidRPr="00B20007">
        <w:rPr>
          <w:color w:val="C00000"/>
        </w:rPr>
        <w:t xml:space="preserve"> </w:t>
      </w:r>
      <w:r>
        <w:t>– California Health and Safety Code Section 24170-24179.5</w:t>
      </w:r>
    </w:p>
    <w:p w:rsidR="0064027A" w:rsidRDefault="0064027A" w:rsidP="0064027A">
      <w:pPr>
        <w:ind w:left="720"/>
      </w:pPr>
      <w:r>
        <w:t>The California Protection of Human Subjects in Medical Experimentation Act</w:t>
      </w:r>
    </w:p>
    <w:p w:rsidR="0064027A" w:rsidRDefault="0064027A" w:rsidP="0064027A">
      <w:pPr>
        <w:pStyle w:val="ListParagraph"/>
        <w:numPr>
          <w:ilvl w:val="1"/>
          <w:numId w:val="1"/>
        </w:numPr>
      </w:pPr>
      <w:r>
        <w:t>Individuals must be provided the Subject’s Bill of Rights as part of the informed consent process prior to participation in a medical experiment.</w:t>
      </w:r>
    </w:p>
    <w:p w:rsidR="0064027A" w:rsidRDefault="0064027A" w:rsidP="0064027A">
      <w:pPr>
        <w:pStyle w:val="ListParagraph"/>
        <w:numPr>
          <w:ilvl w:val="1"/>
          <w:numId w:val="1"/>
        </w:numPr>
      </w:pPr>
      <w:r>
        <w:t xml:space="preserve">A “medical experiment is defined as </w:t>
      </w:r>
    </w:p>
    <w:p w:rsidR="0064027A" w:rsidRDefault="0064027A" w:rsidP="0064027A">
      <w:pPr>
        <w:pStyle w:val="ListParagraph"/>
        <w:numPr>
          <w:ilvl w:val="2"/>
          <w:numId w:val="1"/>
        </w:numPr>
      </w:pPr>
      <w:r>
        <w:t xml:space="preserve">The severance or penetration or damaging of tissues of a human subject or the use </w:t>
      </w:r>
      <w:r w:rsidR="00FB6E1D">
        <w:t>of</w:t>
      </w:r>
      <w:r>
        <w:t xml:space="preserve"> a drug or device, as defined in Section 109920 or 109925, electromagnetic radiation, heat or cold, or a biological substance or organism, in or upon a human subject in the </w:t>
      </w:r>
      <w:r w:rsidR="00FB6E1D">
        <w:t>practice</w:t>
      </w:r>
      <w:r>
        <w:t xml:space="preserve"> or research of medicine in a manner not reasonably related to maintaining or improving the health of the subject or otherwise directly benefiting the subject;</w:t>
      </w:r>
    </w:p>
    <w:p w:rsidR="0064027A" w:rsidRDefault="0064027A" w:rsidP="0064027A">
      <w:pPr>
        <w:pStyle w:val="ListParagraph"/>
        <w:numPr>
          <w:ilvl w:val="2"/>
          <w:numId w:val="1"/>
        </w:numPr>
      </w:pPr>
      <w:r>
        <w:t>The Subjects’</w:t>
      </w:r>
      <w:r w:rsidR="00FB6E1D">
        <w:t xml:space="preserve"> </w:t>
      </w:r>
      <w:r>
        <w:t>Bill of Rights is a separate document and must be provided in addition to the Informed Consent document approved by the IRB.</w:t>
      </w:r>
    </w:p>
    <w:p w:rsidR="00B20007" w:rsidRPr="00B20007" w:rsidRDefault="00B20007" w:rsidP="00B20007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Illegal Drug/Controlled Substance Research</w:t>
      </w:r>
      <w:r w:rsidRPr="00B20007">
        <w:rPr>
          <w:color w:val="C00000"/>
        </w:rPr>
        <w:t xml:space="preserve"> </w:t>
      </w:r>
      <w:r>
        <w:t>– Research Advisory Panel of California, CA Health and Safety Code Section 11480-11481</w:t>
      </w:r>
    </w:p>
    <w:p w:rsidR="00FB6E1D" w:rsidRDefault="00FB6E1D" w:rsidP="00FB6E1D">
      <w:pPr>
        <w:pStyle w:val="ListParagraph"/>
        <w:numPr>
          <w:ilvl w:val="0"/>
          <w:numId w:val="1"/>
        </w:numPr>
        <w:rPr>
          <w:rStyle w:val="main"/>
        </w:rPr>
      </w:pPr>
      <w:r w:rsidRPr="00B20007">
        <w:rPr>
          <w:b/>
          <w:color w:val="C00000"/>
        </w:rPr>
        <w:t>Surrogate Decision Maker</w:t>
      </w:r>
      <w:r w:rsidRPr="00B20007">
        <w:rPr>
          <w:color w:val="C00000"/>
        </w:rPr>
        <w:t xml:space="preserve"> </w:t>
      </w:r>
      <w:r>
        <w:t xml:space="preserve">– California Health and Safety Code (Section 24178)  See Guidance GUI-32 </w:t>
      </w:r>
      <w:hyperlink r:id="rId7" w:tgtFrame="_blank" w:history="1">
        <w:r>
          <w:rPr>
            <w:rStyle w:val="Hyperlink"/>
          </w:rPr>
          <w:t>Research Surrogate Decision Makers</w:t>
        </w:r>
      </w:hyperlink>
    </w:p>
    <w:p w:rsidR="00FB6E1D" w:rsidRDefault="00FB6E1D" w:rsidP="00FB6E1D">
      <w:pPr>
        <w:pStyle w:val="ListParagraph"/>
        <w:numPr>
          <w:ilvl w:val="0"/>
          <w:numId w:val="1"/>
        </w:numPr>
        <w:rPr>
          <w:rStyle w:val="main"/>
        </w:rPr>
      </w:pPr>
      <w:r w:rsidRPr="00B20007">
        <w:rPr>
          <w:rStyle w:val="main"/>
          <w:b/>
          <w:color w:val="C00000"/>
        </w:rPr>
        <w:t>Human Cloning</w:t>
      </w:r>
      <w:r w:rsidRPr="00B20007">
        <w:rPr>
          <w:rStyle w:val="main"/>
          <w:color w:val="C00000"/>
        </w:rPr>
        <w:t xml:space="preserve"> </w:t>
      </w:r>
      <w:r>
        <w:rPr>
          <w:rStyle w:val="main"/>
        </w:rPr>
        <w:t>– California Health and Safety Code Sections 24185-24187</w:t>
      </w:r>
    </w:p>
    <w:p w:rsidR="00FB6E1D" w:rsidRDefault="00FB6E1D" w:rsidP="00FB6E1D">
      <w:pPr>
        <w:pStyle w:val="ListParagraph"/>
        <w:rPr>
          <w:rStyle w:val="main"/>
        </w:rPr>
      </w:pPr>
      <w:r>
        <w:rPr>
          <w:rStyle w:val="main"/>
        </w:rPr>
        <w:t>No person shall clone a human being or engage in human reproductive cloning; no person shall purchase or sell and ovum, zygote, embryo, or fetus for the purpose of cloning a human being.</w:t>
      </w:r>
    </w:p>
    <w:p w:rsidR="00FB6E1D" w:rsidRDefault="00FB6E1D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Experimental Use of Drugs and Consent for Minors Provision</w:t>
      </w:r>
      <w:r w:rsidRPr="00B20007">
        <w:rPr>
          <w:color w:val="C00000"/>
        </w:rPr>
        <w:t xml:space="preserve"> </w:t>
      </w:r>
      <w:r>
        <w:t>– California Health and Safety Code Section 111515-111545</w:t>
      </w:r>
    </w:p>
    <w:p w:rsidR="00FB6E1D" w:rsidRDefault="00FB6E1D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Mandatory Reporting of Sexually Transmitted Disease</w:t>
      </w:r>
      <w:r>
        <w:t xml:space="preserve"> – California Health and Safety Code Section 120500-120605</w:t>
      </w:r>
    </w:p>
    <w:p w:rsidR="00FB6E1D" w:rsidRDefault="00FB6E1D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Confidentiality of Research Records involving A</w:t>
      </w:r>
      <w:r w:rsidR="00B20007">
        <w:rPr>
          <w:b/>
          <w:color w:val="C00000"/>
        </w:rPr>
        <w:t>c</w:t>
      </w:r>
      <w:r w:rsidRPr="00B20007">
        <w:rPr>
          <w:b/>
          <w:color w:val="C00000"/>
        </w:rPr>
        <w:t>quired Immune Deficiency Syndrome (AIDS)</w:t>
      </w:r>
      <w:r w:rsidRPr="00B20007">
        <w:rPr>
          <w:color w:val="C00000"/>
        </w:rPr>
        <w:t xml:space="preserve"> </w:t>
      </w:r>
      <w:r>
        <w:t>Patients</w:t>
      </w:r>
      <w:r w:rsidR="006856C0">
        <w:t xml:space="preserve"> – California Health and Safety Code Section 121075-121125</w:t>
      </w:r>
    </w:p>
    <w:p w:rsidR="00FB6E1D" w:rsidRDefault="006856C0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Use of State Death Data Records</w:t>
      </w:r>
      <w:r w:rsidRPr="00B20007">
        <w:rPr>
          <w:color w:val="C00000"/>
        </w:rPr>
        <w:t xml:space="preserve"> </w:t>
      </w:r>
      <w:r>
        <w:t>– California Health and Safety Code Section 102231-102232</w:t>
      </w:r>
    </w:p>
    <w:p w:rsidR="006856C0" w:rsidRDefault="006856C0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Abortions and Use of Fetal Material</w:t>
      </w:r>
      <w:r w:rsidRPr="00B20007">
        <w:rPr>
          <w:color w:val="C00000"/>
        </w:rPr>
        <w:t xml:space="preserve"> </w:t>
      </w:r>
      <w:r>
        <w:t>– CA Health and Safety Code Sections 123420-123450</w:t>
      </w:r>
    </w:p>
    <w:p w:rsidR="006856C0" w:rsidRDefault="006856C0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Embryos for Research</w:t>
      </w:r>
      <w:r w:rsidRPr="00B20007">
        <w:rPr>
          <w:color w:val="C00000"/>
        </w:rPr>
        <w:t xml:space="preserve"> </w:t>
      </w:r>
      <w:r>
        <w:t>– CA Health and Safety Code Sections 124320-125300</w:t>
      </w:r>
    </w:p>
    <w:p w:rsidR="006856C0" w:rsidRDefault="006856C0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Confidentiality of Records involving Hereditary Disorders</w:t>
      </w:r>
      <w:r w:rsidRPr="00B20007">
        <w:rPr>
          <w:color w:val="C00000"/>
        </w:rPr>
        <w:t xml:space="preserve"> </w:t>
      </w:r>
      <w:r>
        <w:t>– CA Health and Safety Code Section 124980</w:t>
      </w:r>
    </w:p>
    <w:p w:rsidR="006856C0" w:rsidRDefault="006856C0" w:rsidP="00FB6E1D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Assisted Oocyte Production</w:t>
      </w:r>
      <w:r w:rsidRPr="00B20007">
        <w:rPr>
          <w:color w:val="C00000"/>
        </w:rPr>
        <w:t xml:space="preserve"> </w:t>
      </w:r>
      <w:r>
        <w:t>– CA Health and Safety Code Sections 125330-125355</w:t>
      </w:r>
    </w:p>
    <w:p w:rsidR="00B20007" w:rsidRDefault="00B20007" w:rsidP="006856C0">
      <w:pPr>
        <w:ind w:left="360"/>
        <w:rPr>
          <w:b/>
          <w:sz w:val="24"/>
          <w:szCs w:val="24"/>
        </w:rPr>
      </w:pPr>
    </w:p>
    <w:p w:rsidR="006856C0" w:rsidRPr="00701E5E" w:rsidRDefault="006856C0" w:rsidP="00701E5E">
      <w:pPr>
        <w:spacing w:after="120"/>
        <w:ind w:left="360"/>
        <w:rPr>
          <w:b/>
          <w:color w:val="00B0F0"/>
          <w:sz w:val="24"/>
          <w:szCs w:val="24"/>
        </w:rPr>
      </w:pPr>
      <w:r w:rsidRPr="00B20007">
        <w:rPr>
          <w:b/>
          <w:color w:val="00B0F0"/>
          <w:sz w:val="24"/>
          <w:szCs w:val="24"/>
        </w:rPr>
        <w:t>OTHER CALIFORNIA LAWS</w:t>
      </w:r>
    </w:p>
    <w:p w:rsidR="006856C0" w:rsidRDefault="006856C0" w:rsidP="00FB6E1D">
      <w:pPr>
        <w:pStyle w:val="ListParagraph"/>
        <w:numPr>
          <w:ilvl w:val="0"/>
          <w:numId w:val="1"/>
        </w:numPr>
        <w:rPr>
          <w:rStyle w:val="main"/>
        </w:rPr>
      </w:pPr>
      <w:r w:rsidRPr="00B20007">
        <w:rPr>
          <w:b/>
          <w:color w:val="C00000"/>
        </w:rPr>
        <w:t>Prisoners in Biomedical and Behavioral Research</w:t>
      </w:r>
      <w:r w:rsidRPr="00B20007">
        <w:rPr>
          <w:color w:val="C00000"/>
        </w:rPr>
        <w:t xml:space="preserve"> </w:t>
      </w:r>
      <w:r>
        <w:t xml:space="preserve">– CA Penal Code Sections 3500-3523.  See GUI-38 - </w:t>
      </w:r>
      <w:hyperlink r:id="rId8" w:tgtFrame="_blank" w:history="1">
        <w:r>
          <w:rPr>
            <w:rStyle w:val="Hyperlink"/>
          </w:rPr>
          <w:t>California Penal Code: Section 3501 - 3523</w:t>
        </w:r>
      </w:hyperlink>
      <w:r>
        <w:rPr>
          <w:rStyle w:val="main"/>
        </w:rPr>
        <w:t xml:space="preserve"> </w:t>
      </w:r>
    </w:p>
    <w:p w:rsidR="006856C0" w:rsidRDefault="006856C0" w:rsidP="00FB6E1D">
      <w:pPr>
        <w:pStyle w:val="ListParagraph"/>
        <w:numPr>
          <w:ilvl w:val="0"/>
          <w:numId w:val="1"/>
        </w:numPr>
        <w:rPr>
          <w:rStyle w:val="main"/>
        </w:rPr>
      </w:pPr>
      <w:r w:rsidRPr="00B20007">
        <w:rPr>
          <w:rStyle w:val="main"/>
          <w:b/>
          <w:color w:val="C00000"/>
        </w:rPr>
        <w:t>Elder Abuse and Dependent Adult Civil Protection Act</w:t>
      </w:r>
      <w:r w:rsidRPr="00B20007">
        <w:rPr>
          <w:rStyle w:val="main"/>
          <w:color w:val="C00000"/>
        </w:rPr>
        <w:t xml:space="preserve"> </w:t>
      </w:r>
      <w:r>
        <w:rPr>
          <w:rStyle w:val="main"/>
        </w:rPr>
        <w:t>– California Welfare and Institutions Code Sections 15600-15637</w:t>
      </w:r>
    </w:p>
    <w:p w:rsidR="006856C0" w:rsidRDefault="006856C0" w:rsidP="006856C0">
      <w:pPr>
        <w:ind w:left="360"/>
      </w:pPr>
    </w:p>
    <w:p w:rsidR="006856C0" w:rsidRPr="00701E5E" w:rsidRDefault="006856C0" w:rsidP="00701E5E">
      <w:pPr>
        <w:spacing w:after="120"/>
        <w:ind w:left="360"/>
        <w:rPr>
          <w:b/>
          <w:color w:val="00B0F0"/>
          <w:sz w:val="24"/>
          <w:szCs w:val="24"/>
        </w:rPr>
      </w:pPr>
      <w:r w:rsidRPr="00B20007">
        <w:rPr>
          <w:b/>
          <w:color w:val="00B0F0"/>
          <w:sz w:val="24"/>
          <w:szCs w:val="24"/>
        </w:rPr>
        <w:lastRenderedPageBreak/>
        <w:t>OTHER CALIFORNIA LAWS INVOLVING CHILDREN</w:t>
      </w:r>
    </w:p>
    <w:p w:rsidR="0045033E" w:rsidRDefault="006D61CD" w:rsidP="006856C0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 xml:space="preserve">Mandatory </w:t>
      </w:r>
      <w:r w:rsidR="006856C0" w:rsidRPr="00B20007">
        <w:rPr>
          <w:b/>
          <w:color w:val="C00000"/>
        </w:rPr>
        <w:t>Reporting of Child Abuse or Neglect</w:t>
      </w:r>
      <w:r w:rsidR="006856C0" w:rsidRPr="00B20007">
        <w:rPr>
          <w:color w:val="C00000"/>
        </w:rPr>
        <w:t xml:space="preserve"> </w:t>
      </w:r>
      <w:r w:rsidR="006856C0">
        <w:t xml:space="preserve">– California Penal Code Sections </w:t>
      </w:r>
      <w:r w:rsidR="0045033E">
        <w:t xml:space="preserve">11164-11174.3 – </w:t>
      </w:r>
      <w:r w:rsidR="00B20007">
        <w:t>Also s</w:t>
      </w:r>
      <w:r w:rsidR="0045033E">
        <w:t xml:space="preserve">ee </w:t>
      </w:r>
      <w:hyperlink r:id="rId9" w:history="1">
        <w:r w:rsidR="0045033E" w:rsidRPr="0045033E">
          <w:rPr>
            <w:rStyle w:val="Hyperlink"/>
          </w:rPr>
          <w:t>Stanford Policy</w:t>
        </w:r>
      </w:hyperlink>
    </w:p>
    <w:p w:rsidR="006856C0" w:rsidRDefault="0045033E" w:rsidP="006856C0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Parental Consent for Children to Participate in Research</w:t>
      </w:r>
      <w:r w:rsidRPr="00B20007">
        <w:rPr>
          <w:color w:val="C00000"/>
        </w:rPr>
        <w:t xml:space="preserve"> </w:t>
      </w:r>
      <w:r>
        <w:t xml:space="preserve">– California Education Code Section 51513 </w:t>
      </w:r>
    </w:p>
    <w:p w:rsidR="0045033E" w:rsidRDefault="0045033E" w:rsidP="006856C0">
      <w:pPr>
        <w:pStyle w:val="ListParagraph"/>
        <w:numPr>
          <w:ilvl w:val="0"/>
          <w:numId w:val="1"/>
        </w:numPr>
      </w:pPr>
      <w:r w:rsidRPr="00B20007">
        <w:rPr>
          <w:b/>
          <w:color w:val="C00000"/>
        </w:rPr>
        <w:t>When Minors May Consent as Adults</w:t>
      </w:r>
      <w:r>
        <w:t xml:space="preserve">, Including Emancipated Minors, under California Law – California Family Code 7022 and 6922.  See </w:t>
      </w:r>
      <w:hyperlink r:id="rId10" w:history="1">
        <w:r w:rsidRPr="0045033E">
          <w:rPr>
            <w:rStyle w:val="Hyperlink"/>
          </w:rPr>
          <w:t>GUI-C24 Children and Consenting Minors; Consent and Assent; Mandatory Reporting</w:t>
        </w:r>
      </w:hyperlink>
    </w:p>
    <w:p w:rsidR="0045033E" w:rsidRDefault="0045033E" w:rsidP="0045033E">
      <w:pPr>
        <w:pStyle w:val="ListParagraph"/>
      </w:pPr>
    </w:p>
    <w:p w:rsidR="006856C0" w:rsidRDefault="006856C0" w:rsidP="006856C0">
      <w:pPr>
        <w:ind w:left="360"/>
      </w:pPr>
    </w:p>
    <w:p w:rsidR="00FB6E1D" w:rsidRDefault="00FB6E1D" w:rsidP="00FB6E1D">
      <w:pPr>
        <w:pStyle w:val="ListParagraph"/>
      </w:pPr>
    </w:p>
    <w:p w:rsidR="0064027A" w:rsidRDefault="0064027A" w:rsidP="00FB6E1D">
      <w:bookmarkStart w:id="0" w:name="_GoBack"/>
      <w:bookmarkEnd w:id="0"/>
    </w:p>
    <w:sectPr w:rsidR="006402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F5" w:rsidRDefault="007713F5" w:rsidP="007713F5">
      <w:pPr>
        <w:spacing w:line="240" w:lineRule="auto"/>
      </w:pPr>
      <w:r>
        <w:separator/>
      </w:r>
    </w:p>
  </w:endnote>
  <w:endnote w:type="continuationSeparator" w:id="0">
    <w:p w:rsidR="007713F5" w:rsidRDefault="007713F5" w:rsidP="0077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F5" w:rsidRDefault="007713F5" w:rsidP="007713F5">
    <w:pPr>
      <w:pStyle w:val="Footer"/>
      <w:tabs>
        <w:tab w:val="clear" w:pos="4680"/>
        <w:tab w:val="clear" w:pos="9360"/>
      </w:tabs>
      <w:ind w:right="-540" w:hanging="540"/>
    </w:pPr>
    <w:bookmarkStart w:id="1" w:name="OLE_LINK1"/>
    <w:r>
      <w:rPr>
        <w:sz w:val="20"/>
        <w:szCs w:val="20"/>
      </w:rPr>
      <w:t>AID</w:t>
    </w:r>
    <w:r w:rsidRPr="00B26346">
      <w:rPr>
        <w:sz w:val="20"/>
        <w:szCs w:val="20"/>
      </w:rPr>
      <w:t>03</w:t>
    </w:r>
    <w:r>
      <w:rPr>
        <w:sz w:val="20"/>
        <w:szCs w:val="20"/>
      </w:rPr>
      <w:t>H1</w:t>
    </w:r>
    <w:r w:rsidR="0055012A">
      <w:rPr>
        <w:sz w:val="20"/>
        <w:szCs w:val="20"/>
      </w:rPr>
      <w:t>8</w:t>
    </w:r>
    <w:r w:rsidRPr="00B26346">
      <w:rPr>
        <w:sz w:val="20"/>
        <w:szCs w:val="20"/>
      </w:rPr>
      <w:t xml:space="preserve">   rev</w:t>
    </w:r>
    <w:r w:rsidR="00985606">
      <w:rPr>
        <w:sz w:val="20"/>
        <w:szCs w:val="20"/>
      </w:rPr>
      <w:t>2   01/19</w:t>
    </w:r>
    <w:r>
      <w:rPr>
        <w:sz w:val="16"/>
        <w:szCs w:val="16"/>
      </w:rPr>
      <w:t xml:space="preserve">   </w:t>
    </w:r>
    <w:r w:rsidRPr="004B0B19">
      <w:rPr>
        <w:sz w:val="20"/>
        <w:szCs w:val="20"/>
      </w:rPr>
      <w:t xml:space="preserve">    </w:t>
    </w:r>
    <w:bookmarkEnd w:id="1"/>
    <w:r>
      <w:rPr>
        <w:sz w:val="20"/>
        <w:szCs w:val="20"/>
      </w:rPr>
      <w:t xml:space="preserve">                                                 </w:t>
    </w:r>
    <w:r>
      <w:rPr>
        <w:rStyle w:val="PageNumber"/>
        <w:sz w:val="20"/>
        <w:szCs w:val="20"/>
      </w:rPr>
      <w:t xml:space="preserve">Research Compliance Office                                                                           </w:t>
    </w:r>
    <w:hyperlink w:anchor="top" w:history="1">
      <w:r w:rsidRPr="00DB4503">
        <w:rPr>
          <w:rStyle w:val="Hyperlink"/>
          <w:sz w:val="20"/>
          <w:szCs w:val="20"/>
        </w:rPr>
        <w:t xml:space="preserve">top              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F5" w:rsidRDefault="007713F5" w:rsidP="007713F5">
      <w:pPr>
        <w:spacing w:line="240" w:lineRule="auto"/>
      </w:pPr>
      <w:r>
        <w:separator/>
      </w:r>
    </w:p>
  </w:footnote>
  <w:footnote w:type="continuationSeparator" w:id="0">
    <w:p w:rsidR="007713F5" w:rsidRDefault="007713F5" w:rsidP="00771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890"/>
      <w:gridCol w:w="7470"/>
      <w:gridCol w:w="1080"/>
    </w:tblGrid>
    <w:tr w:rsidR="007713F5" w:rsidRPr="00E55E4C" w:rsidTr="0016314A">
      <w:trPr>
        <w:trHeight w:val="706"/>
      </w:trPr>
      <w:tc>
        <w:tcPr>
          <w:tcW w:w="1890" w:type="dxa"/>
          <w:tcMar>
            <w:left w:w="72" w:type="dxa"/>
            <w:right w:w="72" w:type="dxa"/>
          </w:tcMar>
          <w:vAlign w:val="center"/>
        </w:tcPr>
        <w:p w:rsidR="007713F5" w:rsidRPr="00E55E4C" w:rsidRDefault="007713F5" w:rsidP="007713F5">
          <w:pPr>
            <w:pStyle w:val="Header"/>
            <w:jc w:val="center"/>
            <w:rPr>
              <w:rFonts w:ascii="Verdana" w:hAnsi="Verdana" w:cs="Tahoma"/>
              <w:sz w:val="16"/>
              <w:szCs w:val="16"/>
            </w:rPr>
          </w:pPr>
          <w:r w:rsidRPr="00E55E4C">
            <w:rPr>
              <w:rFonts w:ascii="Verdana" w:hAnsi="Verdana" w:cs="Tahoma"/>
              <w:sz w:val="16"/>
              <w:szCs w:val="16"/>
            </w:rPr>
            <w:t>Stanford University</w:t>
          </w:r>
        </w:p>
        <w:p w:rsidR="007713F5" w:rsidRPr="00A730A6" w:rsidRDefault="007713F5" w:rsidP="007713F5">
          <w:pPr>
            <w:pStyle w:val="Header"/>
            <w:jc w:val="center"/>
            <w:rPr>
              <w:rFonts w:ascii="Verdana" w:hAnsi="Verdana" w:cs="Tahoma"/>
              <w:b/>
              <w:sz w:val="20"/>
              <w:szCs w:val="20"/>
            </w:rPr>
          </w:pPr>
          <w:r w:rsidRPr="00A730A6">
            <w:rPr>
              <w:rFonts w:ascii="Verdana" w:hAnsi="Verdana" w:cs="Tahoma"/>
              <w:b/>
              <w:sz w:val="20"/>
              <w:szCs w:val="20"/>
            </w:rPr>
            <w:t xml:space="preserve">HRPP </w:t>
          </w:r>
        </w:p>
      </w:tc>
      <w:tc>
        <w:tcPr>
          <w:tcW w:w="7470" w:type="dxa"/>
          <w:vAlign w:val="center"/>
        </w:tcPr>
        <w:p w:rsidR="007713F5" w:rsidRPr="00E55E4C" w:rsidRDefault="007713F5" w:rsidP="007713F5">
          <w:pPr>
            <w:pStyle w:val="hrpph1"/>
            <w:spacing w:before="0" w:after="0" w:line="240" w:lineRule="auto"/>
            <w:jc w:val="center"/>
            <w:rPr>
              <w:sz w:val="20"/>
              <w:szCs w:val="20"/>
            </w:rPr>
          </w:pPr>
          <w:r>
            <w:rPr>
              <w:i w:val="0"/>
            </w:rPr>
            <w:t>Applicable State Laws/Regulations</w:t>
          </w:r>
        </w:p>
      </w:tc>
      <w:tc>
        <w:tcPr>
          <w:tcW w:w="1080" w:type="dxa"/>
          <w:tcMar>
            <w:left w:w="29" w:type="dxa"/>
            <w:right w:w="29" w:type="dxa"/>
          </w:tcMar>
          <w:vAlign w:val="center"/>
        </w:tcPr>
        <w:p w:rsidR="007713F5" w:rsidRPr="00E55E4C" w:rsidRDefault="007713F5" w:rsidP="007713F5">
          <w:pPr>
            <w:pStyle w:val="Header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AID</w:t>
          </w:r>
          <w:r w:rsidRPr="00E55E4C">
            <w:rPr>
              <w:rFonts w:ascii="Verdana" w:hAnsi="Verdana" w:cs="Tahoma"/>
            </w:rPr>
            <w:t>-H</w:t>
          </w:r>
          <w:r>
            <w:rPr>
              <w:rFonts w:ascii="Verdana" w:hAnsi="Verdana" w:cs="Tahoma"/>
            </w:rPr>
            <w:t>1</w:t>
          </w:r>
          <w:r w:rsidR="0055012A">
            <w:rPr>
              <w:rFonts w:ascii="Verdana" w:hAnsi="Verdana" w:cs="Tahoma"/>
            </w:rPr>
            <w:t>8</w:t>
          </w:r>
        </w:p>
        <w:p w:rsidR="007713F5" w:rsidRPr="00E55E4C" w:rsidRDefault="007713F5" w:rsidP="007713F5">
          <w:pPr>
            <w:pStyle w:val="Header"/>
            <w:jc w:val="center"/>
            <w:rPr>
              <w:rFonts w:ascii="Verdana" w:hAnsi="Verdana" w:cs="Tahoma"/>
              <w:sz w:val="10"/>
              <w:szCs w:val="10"/>
            </w:rPr>
          </w:pPr>
        </w:p>
        <w:p w:rsidR="007713F5" w:rsidRPr="00E55E4C" w:rsidRDefault="007713F5" w:rsidP="007713F5">
          <w:pPr>
            <w:pStyle w:val="Header"/>
            <w:jc w:val="center"/>
            <w:rPr>
              <w:rFonts w:ascii="Verdana" w:hAnsi="Verdana" w:cs="Tahoma"/>
              <w:sz w:val="16"/>
              <w:szCs w:val="16"/>
            </w:rPr>
          </w:pPr>
          <w:r w:rsidRPr="00E55E4C">
            <w:rPr>
              <w:rFonts w:ascii="Verdana" w:hAnsi="Verdana" w:cs="Tahoma"/>
            </w:rPr>
            <w:fldChar w:fldCharType="begin"/>
          </w:r>
          <w:r w:rsidRPr="00E55E4C">
            <w:rPr>
              <w:rFonts w:ascii="Verdana" w:hAnsi="Verdana" w:cs="Tahoma"/>
            </w:rPr>
            <w:instrText xml:space="preserve"> PAGE   \* MERGEFORMAT </w:instrText>
          </w:r>
          <w:r w:rsidRPr="00E55E4C">
            <w:rPr>
              <w:rFonts w:ascii="Verdana" w:hAnsi="Verdana" w:cs="Tahoma"/>
            </w:rPr>
            <w:fldChar w:fldCharType="separate"/>
          </w:r>
          <w:r w:rsidR="00985606">
            <w:rPr>
              <w:rFonts w:ascii="Verdana" w:hAnsi="Verdana" w:cs="Tahoma"/>
              <w:noProof/>
            </w:rPr>
            <w:t>1</w:t>
          </w:r>
          <w:r w:rsidRPr="00E55E4C">
            <w:rPr>
              <w:rFonts w:ascii="Verdana" w:hAnsi="Verdana" w:cs="Tahoma"/>
            </w:rPr>
            <w:fldChar w:fldCharType="end"/>
          </w:r>
          <w:r w:rsidRPr="00E55E4C">
            <w:rPr>
              <w:rFonts w:ascii="Verdana" w:hAnsi="Verdana" w:cs="Tahoma"/>
            </w:rPr>
            <w:t>/</w:t>
          </w:r>
          <w:fldSimple w:instr=" NUMPAGES   \* MERGEFORMAT ">
            <w:r w:rsidR="00985606" w:rsidRPr="00985606">
              <w:rPr>
                <w:rFonts w:ascii="Verdana" w:hAnsi="Verdana" w:cs="Tahoma"/>
                <w:noProof/>
              </w:rPr>
              <w:t>2</w:t>
            </w:r>
          </w:fldSimple>
        </w:p>
      </w:tc>
    </w:tr>
  </w:tbl>
  <w:p w:rsidR="007713F5" w:rsidRDefault="0077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BDC"/>
    <w:multiLevelType w:val="hybridMultilevel"/>
    <w:tmpl w:val="3C6C59B0"/>
    <w:lvl w:ilvl="0" w:tplc="D734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434F"/>
    <w:multiLevelType w:val="hybridMultilevel"/>
    <w:tmpl w:val="DC123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7A"/>
    <w:rsid w:val="00380FBA"/>
    <w:rsid w:val="00415E91"/>
    <w:rsid w:val="0045033E"/>
    <w:rsid w:val="0055012A"/>
    <w:rsid w:val="0064027A"/>
    <w:rsid w:val="006856C0"/>
    <w:rsid w:val="006D61CD"/>
    <w:rsid w:val="00701E5E"/>
    <w:rsid w:val="007713F5"/>
    <w:rsid w:val="007D5C90"/>
    <w:rsid w:val="00985606"/>
    <w:rsid w:val="00B20007"/>
    <w:rsid w:val="00BE76EA"/>
    <w:rsid w:val="00DC73A7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1116"/>
  <w15:chartTrackingRefBased/>
  <w15:docId w15:val="{05C07000-C28B-47D3-B736-FA39A2E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7A"/>
    <w:pPr>
      <w:ind w:left="720"/>
      <w:contextualSpacing/>
    </w:pPr>
  </w:style>
  <w:style w:type="character" w:customStyle="1" w:styleId="main">
    <w:name w:val="main"/>
    <w:basedOn w:val="DefaultParagraphFont"/>
    <w:rsid w:val="00FB6E1D"/>
  </w:style>
  <w:style w:type="character" w:styleId="Hyperlink">
    <w:name w:val="Hyperlink"/>
    <w:basedOn w:val="DefaultParagraphFont"/>
    <w:uiPriority w:val="99"/>
    <w:unhideWhenUsed/>
    <w:rsid w:val="00FB6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3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F5"/>
  </w:style>
  <w:style w:type="paragraph" w:styleId="Footer">
    <w:name w:val="footer"/>
    <w:basedOn w:val="Normal"/>
    <w:link w:val="FooterChar"/>
    <w:unhideWhenUsed/>
    <w:rsid w:val="007713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F5"/>
  </w:style>
  <w:style w:type="paragraph" w:customStyle="1" w:styleId="hrpph1">
    <w:name w:val="hrpp h1"/>
    <w:basedOn w:val="Normal"/>
    <w:link w:val="hrpph1Char"/>
    <w:qFormat/>
    <w:rsid w:val="007713F5"/>
    <w:pPr>
      <w:keepNext/>
      <w:keepLines/>
      <w:spacing w:before="480" w:after="200"/>
      <w:contextualSpacing/>
      <w:outlineLvl w:val="1"/>
    </w:pPr>
    <w:rPr>
      <w:rFonts w:ascii="Calibri" w:eastAsiaTheme="minorEastAsia" w:hAnsi="Calibri" w:cs="Arial"/>
      <w:b/>
      <w:bCs/>
      <w:i/>
      <w:iCs/>
      <w:snapToGrid w:val="0"/>
      <w:color w:val="C00000"/>
      <w:sz w:val="28"/>
      <w:szCs w:val="26"/>
    </w:rPr>
  </w:style>
  <w:style w:type="character" w:customStyle="1" w:styleId="hrpph1Char">
    <w:name w:val="hrpp h1 Char"/>
    <w:link w:val="hrpph1"/>
    <w:rsid w:val="007713F5"/>
    <w:rPr>
      <w:rFonts w:ascii="Calibri" w:eastAsiaTheme="minorEastAsia" w:hAnsi="Calibri" w:cs="Arial"/>
      <w:b/>
      <w:bCs/>
      <w:i/>
      <w:iCs/>
      <w:snapToGrid w:val="0"/>
      <w:color w:val="C00000"/>
      <w:sz w:val="28"/>
      <w:szCs w:val="26"/>
    </w:rPr>
  </w:style>
  <w:style w:type="character" w:styleId="PageNumber">
    <w:name w:val="page number"/>
    <w:basedOn w:val="DefaultParagraphFont"/>
    <w:rsid w:val="0077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fordmedicine.box.com/shared/static/a6zw687aef5nk96ts6nb3u97nuy3h88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fordmedicine.box.com/shared/static/wetqr16ycb7u0yoe5tvbaggexfp9wnew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anfordmedicine.box.com/shared/static/tnxkpep2r6fzptdglt6jkgibopype0z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c.stanford.edu/child-abuse-and-neglect-repor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Molvin, Celia</dc:creator>
  <cp:keywords/>
  <dc:description/>
  <cp:lastModifiedBy>Dianne M. Ferris</cp:lastModifiedBy>
  <cp:revision>8</cp:revision>
  <dcterms:created xsi:type="dcterms:W3CDTF">2017-11-02T18:48:00Z</dcterms:created>
  <dcterms:modified xsi:type="dcterms:W3CDTF">2019-02-01T21:03:00Z</dcterms:modified>
</cp:coreProperties>
</file>